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rPr>
          <w:rFonts w:hint="eastAsia" w:ascii="方正小标宋简体" w:hAnsi="方正小标宋简体" w:eastAsia="方正小标宋简体" w:cs="方正小标宋简体"/>
          <w:b w:val="0"/>
          <w:bCs w:val="0"/>
          <w:color w:val="000000"/>
          <w:sz w:val="44"/>
          <w:szCs w:val="48"/>
          <w:lang w:eastAsia="zh-CN"/>
        </w:rPr>
      </w:pPr>
      <w:r>
        <w:rPr>
          <w:rFonts w:hint="eastAsia" w:ascii="方正小标宋简体" w:hAnsi="方正小标宋简体" w:eastAsia="方正小标宋简体" w:cs="方正小标宋简体"/>
          <w:b w:val="0"/>
          <w:bCs w:val="0"/>
          <w:color w:val="000000"/>
          <w:sz w:val="44"/>
          <w:szCs w:val="48"/>
          <w:lang w:eastAsia="zh-CN"/>
        </w:rPr>
        <w:t>酒钢集团甘肃宏兴宏宇新材料有限责任公司</w:t>
      </w:r>
    </w:p>
    <w:p>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rPr>
          <w:rFonts w:hint="eastAsia" w:ascii="方正小标宋简体" w:hAnsi="方正小标宋简体" w:eastAsia="方正小标宋简体" w:cs="方正小标宋简体"/>
          <w:b w:val="0"/>
          <w:bCs w:val="0"/>
          <w:color w:val="000000"/>
          <w:sz w:val="44"/>
          <w:szCs w:val="48"/>
          <w:lang w:eastAsia="zh-CN"/>
        </w:rPr>
      </w:pPr>
      <w:r>
        <w:rPr>
          <w:rFonts w:hint="eastAsia" w:ascii="方正小标宋简体" w:hAnsi="方正小标宋简体" w:eastAsia="方正小标宋简体" w:cs="方正小标宋简体"/>
          <w:b w:val="0"/>
          <w:bCs w:val="0"/>
          <w:color w:val="000000"/>
          <w:sz w:val="44"/>
          <w:szCs w:val="48"/>
          <w:lang w:eastAsia="zh-CN"/>
        </w:rPr>
        <w:t>（</w:t>
      </w:r>
      <w:r>
        <w:rPr>
          <w:rFonts w:hint="eastAsia" w:ascii="方正小标宋简体" w:hAnsi="方正小标宋简体" w:eastAsia="方正小标宋简体" w:cs="方正小标宋简体"/>
          <w:b w:val="0"/>
          <w:bCs w:val="0"/>
          <w:color w:val="000000"/>
          <w:sz w:val="44"/>
          <w:szCs w:val="48"/>
          <w:lang w:val="en-US" w:eastAsia="zh-CN"/>
        </w:rPr>
        <w:t>70387218 卸卷小车托辊带抱闸盘\Φ200×1500 聚氨酯 705874389 卷取机</w:t>
      </w:r>
      <w:r>
        <w:rPr>
          <w:rFonts w:hint="eastAsia" w:ascii="方正小标宋简体" w:hAnsi="方正小标宋简体" w:eastAsia="方正小标宋简体" w:cs="方正小标宋简体"/>
          <w:b w:val="0"/>
          <w:bCs w:val="0"/>
          <w:color w:val="000000"/>
          <w:sz w:val="44"/>
          <w:szCs w:val="48"/>
          <w:lang w:eastAsia="zh-CN"/>
        </w:rPr>
        <w:t>）</w:t>
      </w:r>
    </w:p>
    <w:p>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rPr>
          <w:rFonts w:hint="eastAsia" w:ascii="方正小标宋简体" w:hAnsi="方正小标宋简体" w:eastAsia="方正小标宋简体" w:cs="方正小标宋简体"/>
          <w:b w:val="0"/>
          <w:bCs w:val="0"/>
          <w:color w:val="000000"/>
          <w:sz w:val="44"/>
          <w:szCs w:val="48"/>
          <w:lang w:eastAsia="zh-CN"/>
        </w:rPr>
      </w:pPr>
      <w:r>
        <w:rPr>
          <w:rFonts w:hint="eastAsia" w:ascii="方正小标宋简体" w:hAnsi="方正小标宋简体" w:eastAsia="方正小标宋简体" w:cs="方正小标宋简体"/>
          <w:b w:val="0"/>
          <w:bCs w:val="0"/>
          <w:color w:val="000000"/>
          <w:sz w:val="44"/>
          <w:szCs w:val="48"/>
          <w:lang w:eastAsia="zh-CN"/>
        </w:rPr>
        <w:t>采</w:t>
      </w:r>
      <w:r>
        <w:rPr>
          <w:rFonts w:hint="eastAsia" w:ascii="方正小标宋简体" w:hAnsi="方正小标宋简体" w:eastAsia="方正小标宋简体" w:cs="方正小标宋简体"/>
          <w:b w:val="0"/>
          <w:bCs w:val="0"/>
          <w:color w:val="000000"/>
          <w:sz w:val="44"/>
          <w:szCs w:val="48"/>
          <w:lang w:val="en-US" w:eastAsia="zh-CN"/>
        </w:rPr>
        <w:t xml:space="preserve">  </w:t>
      </w:r>
      <w:r>
        <w:rPr>
          <w:rFonts w:hint="eastAsia" w:ascii="方正小标宋简体" w:hAnsi="方正小标宋简体" w:eastAsia="方正小标宋简体" w:cs="方正小标宋简体"/>
          <w:b w:val="0"/>
          <w:bCs w:val="0"/>
          <w:color w:val="000000"/>
          <w:sz w:val="44"/>
          <w:szCs w:val="48"/>
          <w:lang w:eastAsia="zh-CN"/>
        </w:rPr>
        <w:t>购</w:t>
      </w:r>
    </w:p>
    <w:p>
      <w:pPr>
        <w:pStyle w:val="2"/>
        <w:rPr>
          <w:rFonts w:hint="eastAsia"/>
          <w:lang w:eastAsia="zh-CN"/>
        </w:rPr>
      </w:pPr>
    </w:p>
    <w:p>
      <w:pPr>
        <w:keepNext w:val="0"/>
        <w:keepLines w:val="0"/>
        <w:pageBreakBefore w:val="0"/>
        <w:widowControl w:val="0"/>
        <w:kinsoku/>
        <w:wordWrap/>
        <w:overflowPunct/>
        <w:topLinePunct w:val="0"/>
        <w:autoSpaceDE/>
        <w:autoSpaceDN/>
        <w:bidi w:val="0"/>
        <w:adjustRightInd/>
        <w:jc w:val="center"/>
        <w:textAlignment w:val="auto"/>
        <w:rPr>
          <w:rFonts w:hint="eastAsia" w:ascii="方正小标宋简体" w:hAnsi="方正小标宋简体" w:eastAsia="方正小标宋简体" w:cs="方正小标宋简体"/>
          <w:b w:val="0"/>
          <w:bCs/>
          <w:color w:val="000000"/>
          <w:sz w:val="44"/>
          <w:szCs w:val="44"/>
        </w:rPr>
      </w:pPr>
      <w:r>
        <w:rPr>
          <w:rFonts w:hint="eastAsia" w:ascii="方正小标宋简体" w:hAnsi="方正小标宋简体" w:eastAsia="方正小标宋简体" w:cs="方正小标宋简体"/>
          <w:b w:val="0"/>
          <w:bCs/>
          <w:color w:val="000000"/>
          <w:sz w:val="44"/>
          <w:szCs w:val="44"/>
        </w:rPr>
        <w:t>技</w:t>
      </w:r>
    </w:p>
    <w:p>
      <w:pPr>
        <w:keepNext w:val="0"/>
        <w:keepLines w:val="0"/>
        <w:pageBreakBefore w:val="0"/>
        <w:widowControl w:val="0"/>
        <w:kinsoku/>
        <w:wordWrap/>
        <w:overflowPunct/>
        <w:topLinePunct w:val="0"/>
        <w:autoSpaceDE/>
        <w:autoSpaceDN/>
        <w:bidi w:val="0"/>
        <w:adjustRightInd/>
        <w:jc w:val="center"/>
        <w:textAlignment w:val="auto"/>
        <w:rPr>
          <w:rFonts w:hint="eastAsia" w:ascii="方正小标宋简体" w:hAnsi="方正小标宋简体" w:eastAsia="方正小标宋简体" w:cs="方正小标宋简体"/>
          <w:b w:val="0"/>
          <w:bCs/>
          <w:color w:val="000000"/>
          <w:sz w:val="44"/>
          <w:szCs w:val="44"/>
        </w:rPr>
      </w:pPr>
      <w:r>
        <w:rPr>
          <w:rFonts w:hint="eastAsia" w:ascii="方正小标宋简体" w:hAnsi="方正小标宋简体" w:eastAsia="方正小标宋简体" w:cs="方正小标宋简体"/>
          <w:b w:val="0"/>
          <w:bCs/>
          <w:color w:val="000000"/>
          <w:sz w:val="44"/>
          <w:szCs w:val="44"/>
        </w:rPr>
        <w:t>术</w:t>
      </w:r>
    </w:p>
    <w:p>
      <w:pPr>
        <w:keepNext w:val="0"/>
        <w:keepLines w:val="0"/>
        <w:pageBreakBefore w:val="0"/>
        <w:widowControl w:val="0"/>
        <w:kinsoku/>
        <w:wordWrap/>
        <w:overflowPunct/>
        <w:topLinePunct w:val="0"/>
        <w:autoSpaceDE/>
        <w:autoSpaceDN/>
        <w:bidi w:val="0"/>
        <w:adjustRightInd/>
        <w:jc w:val="center"/>
        <w:textAlignment w:val="auto"/>
        <w:rPr>
          <w:rFonts w:hint="eastAsia" w:ascii="方正小标宋简体" w:hAnsi="方正小标宋简体" w:eastAsia="方正小标宋简体" w:cs="方正小标宋简体"/>
          <w:b w:val="0"/>
          <w:bCs/>
          <w:color w:val="000000"/>
          <w:sz w:val="44"/>
          <w:szCs w:val="44"/>
          <w:lang w:eastAsia="zh-CN"/>
        </w:rPr>
      </w:pPr>
      <w:r>
        <w:rPr>
          <w:rFonts w:hint="eastAsia" w:ascii="方正小标宋简体" w:hAnsi="方正小标宋简体" w:eastAsia="方正小标宋简体" w:cs="方正小标宋简体"/>
          <w:b w:val="0"/>
          <w:bCs/>
          <w:color w:val="000000"/>
          <w:sz w:val="44"/>
          <w:szCs w:val="44"/>
          <w:lang w:eastAsia="zh-CN"/>
        </w:rPr>
        <w:t>规</w:t>
      </w:r>
    </w:p>
    <w:p>
      <w:pPr>
        <w:keepNext w:val="0"/>
        <w:keepLines w:val="0"/>
        <w:pageBreakBefore w:val="0"/>
        <w:widowControl w:val="0"/>
        <w:kinsoku/>
        <w:wordWrap/>
        <w:overflowPunct/>
        <w:topLinePunct w:val="0"/>
        <w:autoSpaceDE/>
        <w:autoSpaceDN/>
        <w:bidi w:val="0"/>
        <w:adjustRightInd/>
        <w:jc w:val="center"/>
        <w:textAlignment w:val="auto"/>
        <w:rPr>
          <w:rFonts w:hint="eastAsia" w:ascii="方正小标宋简体" w:hAnsi="方正小标宋简体" w:eastAsia="方正小标宋简体" w:cs="方正小标宋简体"/>
          <w:b w:val="0"/>
          <w:bCs/>
          <w:color w:val="000000"/>
          <w:sz w:val="44"/>
          <w:szCs w:val="44"/>
          <w:lang w:eastAsia="zh-CN"/>
        </w:rPr>
      </w:pPr>
      <w:r>
        <w:rPr>
          <w:rFonts w:hint="eastAsia" w:ascii="方正小标宋简体" w:hAnsi="方正小标宋简体" w:eastAsia="方正小标宋简体" w:cs="方正小标宋简体"/>
          <w:b w:val="0"/>
          <w:bCs/>
          <w:color w:val="000000"/>
          <w:sz w:val="44"/>
          <w:szCs w:val="44"/>
          <w:lang w:eastAsia="zh-CN"/>
        </w:rPr>
        <w:t>格</w:t>
      </w:r>
    </w:p>
    <w:p>
      <w:pPr>
        <w:keepNext w:val="0"/>
        <w:keepLines w:val="0"/>
        <w:pageBreakBefore w:val="0"/>
        <w:widowControl w:val="0"/>
        <w:kinsoku/>
        <w:wordWrap/>
        <w:overflowPunct/>
        <w:topLinePunct w:val="0"/>
        <w:autoSpaceDE/>
        <w:autoSpaceDN/>
        <w:bidi w:val="0"/>
        <w:adjustRightInd/>
        <w:jc w:val="center"/>
        <w:textAlignment w:val="auto"/>
        <w:rPr>
          <w:rFonts w:hint="eastAsia" w:ascii="方正小标宋简体" w:hAnsi="方正小标宋简体" w:eastAsia="方正小标宋简体" w:cs="方正小标宋简体"/>
          <w:b w:val="0"/>
          <w:bCs/>
          <w:color w:val="000000"/>
          <w:sz w:val="44"/>
          <w:szCs w:val="44"/>
          <w:lang w:eastAsia="zh-CN"/>
        </w:rPr>
      </w:pPr>
      <w:r>
        <w:rPr>
          <w:rFonts w:hint="eastAsia" w:ascii="方正小标宋简体" w:hAnsi="方正小标宋简体" w:eastAsia="方正小标宋简体" w:cs="方正小标宋简体"/>
          <w:b w:val="0"/>
          <w:bCs/>
          <w:color w:val="000000"/>
          <w:sz w:val="44"/>
          <w:szCs w:val="44"/>
          <w:lang w:eastAsia="zh-CN"/>
        </w:rPr>
        <w:t>书</w:t>
      </w:r>
    </w:p>
    <w:p>
      <w:pPr>
        <w:jc w:val="center"/>
        <w:rPr>
          <w:color w:val="000000"/>
          <w:sz w:val="44"/>
        </w:rPr>
      </w:pPr>
    </w:p>
    <w:p>
      <w:pPr>
        <w:jc w:val="center"/>
        <w:rPr>
          <w:color w:val="000000"/>
          <w:sz w:val="44"/>
        </w:rPr>
      </w:pPr>
    </w:p>
    <w:p>
      <w:pPr>
        <w:jc w:val="center"/>
        <w:rPr>
          <w:color w:val="000000"/>
          <w:sz w:val="44"/>
        </w:rPr>
      </w:pPr>
    </w:p>
    <w:p>
      <w:pPr>
        <w:keepNext w:val="0"/>
        <w:keepLines w:val="0"/>
        <w:pageBreakBefore w:val="0"/>
        <w:widowControl w:val="0"/>
        <w:kinsoku/>
        <w:wordWrap/>
        <w:overflowPunct/>
        <w:topLinePunct w:val="0"/>
        <w:autoSpaceDE/>
        <w:autoSpaceDN/>
        <w:bidi w:val="0"/>
        <w:adjustRightInd/>
        <w:snapToGrid/>
        <w:spacing w:line="720" w:lineRule="auto"/>
        <w:ind w:firstLine="643" w:firstLineChars="200"/>
        <w:textAlignment w:val="auto"/>
        <w:rPr>
          <w:rFonts w:hint="eastAsia" w:ascii="仿宋_GB2312" w:hAnsi="仿宋_GB2312" w:eastAsia="仿宋_GB2312" w:cs="仿宋_GB2312"/>
          <w:b/>
          <w:sz w:val="32"/>
          <w:szCs w:val="32"/>
          <w:lang w:eastAsia="zh-CN"/>
        </w:rPr>
      </w:pPr>
      <w:r>
        <w:rPr>
          <w:rFonts w:hint="eastAsia" w:ascii="仿宋_GB2312" w:hAnsi="仿宋_GB2312" w:eastAsia="仿宋_GB2312" w:cs="仿宋_GB2312"/>
          <w:b/>
          <w:color w:val="000000"/>
          <w:sz w:val="32"/>
          <w:szCs w:val="32"/>
        </w:rPr>
        <w:t>甲    方：</w:t>
      </w:r>
      <w:r>
        <w:rPr>
          <w:rFonts w:hint="eastAsia" w:ascii="仿宋_GB2312" w:hAnsi="仿宋_GB2312" w:eastAsia="仿宋_GB2312" w:cs="仿宋_GB2312"/>
          <w:color w:val="000000"/>
          <w:sz w:val="32"/>
          <w:szCs w:val="32"/>
        </w:rPr>
        <w:t>酒钢集团</w:t>
      </w:r>
      <w:r>
        <w:rPr>
          <w:rFonts w:hint="eastAsia" w:ascii="仿宋_GB2312" w:hAnsi="仿宋_GB2312" w:eastAsia="仿宋_GB2312" w:cs="仿宋_GB2312"/>
          <w:color w:val="000000"/>
          <w:sz w:val="32"/>
          <w:szCs w:val="32"/>
          <w:lang w:eastAsia="zh-CN"/>
        </w:rPr>
        <w:t>甘肃宏兴宏宇新材料有限责任公司</w:t>
      </w:r>
    </w:p>
    <w:p>
      <w:pPr>
        <w:keepNext w:val="0"/>
        <w:keepLines w:val="0"/>
        <w:pageBreakBefore w:val="0"/>
        <w:widowControl w:val="0"/>
        <w:kinsoku/>
        <w:wordWrap/>
        <w:overflowPunct/>
        <w:topLinePunct w:val="0"/>
        <w:autoSpaceDE/>
        <w:autoSpaceDN/>
        <w:bidi w:val="0"/>
        <w:adjustRightInd/>
        <w:snapToGrid/>
        <w:spacing w:line="720" w:lineRule="auto"/>
        <w:ind w:firstLine="643" w:firstLineChars="200"/>
        <w:textAlignment w:val="auto"/>
        <w:rPr>
          <w:rFonts w:hint="eastAsia" w:ascii="仿宋_GB2312" w:hAnsi="仿宋_GB2312" w:eastAsia="仿宋_GB2312" w:cs="仿宋_GB2312"/>
          <w:color w:val="FF0000"/>
          <w:sz w:val="32"/>
          <w:szCs w:val="32"/>
        </w:rPr>
      </w:pPr>
      <w:r>
        <w:rPr>
          <w:rFonts w:hint="eastAsia" w:ascii="仿宋_GB2312" w:hAnsi="仿宋_GB2312" w:eastAsia="仿宋_GB2312" w:cs="仿宋_GB2312"/>
          <w:b/>
          <w:color w:val="000000"/>
          <w:sz w:val="32"/>
          <w:szCs w:val="32"/>
        </w:rPr>
        <w:t>乙    方：</w:t>
      </w:r>
      <w:r>
        <w:rPr>
          <w:rFonts w:hint="eastAsia" w:ascii="仿宋_GB2312" w:hAnsi="仿宋_GB2312" w:eastAsia="仿宋_GB2312" w:cs="仿宋_GB2312"/>
          <w:color w:val="FF0000"/>
          <w:sz w:val="32"/>
          <w:szCs w:val="32"/>
        </w:rPr>
        <w:t xml:space="preserve"> </w:t>
      </w:r>
    </w:p>
    <w:p>
      <w:pPr>
        <w:tabs>
          <w:tab w:val="left" w:pos="540"/>
        </w:tabs>
        <w:spacing w:line="360" w:lineRule="auto"/>
        <w:rPr>
          <w:rFonts w:hint="eastAsia" w:ascii="宋体" w:hAnsi="宋体"/>
          <w:b/>
          <w:color w:val="000000"/>
          <w:sz w:val="28"/>
          <w:szCs w:val="28"/>
        </w:rPr>
      </w:pPr>
    </w:p>
    <w:p>
      <w:pPr>
        <w:tabs>
          <w:tab w:val="left" w:pos="540"/>
        </w:tabs>
        <w:spacing w:line="360" w:lineRule="auto"/>
        <w:jc w:val="center"/>
        <w:rPr>
          <w:rFonts w:hint="eastAsia" w:ascii="仿宋_GB2312" w:hAnsi="仿宋_GB2312" w:eastAsia="仿宋_GB2312" w:cs="仿宋_GB2312"/>
          <w:sz w:val="32"/>
          <w:szCs w:val="32"/>
        </w:rPr>
        <w:sectPr>
          <w:headerReference r:id="rId3" w:type="default"/>
          <w:footerReference r:id="rId4" w:type="default"/>
          <w:pgSz w:w="11906" w:h="16838"/>
          <w:pgMar w:top="1417" w:right="1417" w:bottom="1417" w:left="1417" w:header="851" w:footer="992" w:gutter="0"/>
          <w:cols w:space="720" w:num="1"/>
          <w:docGrid w:type="lines" w:linePitch="312" w:charSpace="0"/>
        </w:sectPr>
      </w:pPr>
      <w:r>
        <w:rPr>
          <w:rFonts w:hint="eastAsia" w:ascii="仿宋_GB2312" w:hAnsi="仿宋_GB2312" w:eastAsia="仿宋_GB2312" w:cs="仿宋_GB2312"/>
          <w:color w:val="000000"/>
          <w:sz w:val="32"/>
          <w:szCs w:val="20"/>
        </w:rPr>
        <w:t>20</w:t>
      </w:r>
      <w:r>
        <w:rPr>
          <w:rFonts w:hint="eastAsia" w:ascii="仿宋_GB2312" w:hAnsi="仿宋_GB2312" w:eastAsia="仿宋_GB2312" w:cs="仿宋_GB2312"/>
          <w:color w:val="000000"/>
          <w:sz w:val="32"/>
          <w:szCs w:val="20"/>
          <w:lang w:val="en-US" w:eastAsia="zh-CN"/>
        </w:rPr>
        <w:t>26</w:t>
      </w:r>
      <w:r>
        <w:rPr>
          <w:rFonts w:hint="eastAsia" w:ascii="仿宋_GB2312" w:hAnsi="仿宋_GB2312" w:eastAsia="仿宋_GB2312" w:cs="仿宋_GB2312"/>
          <w:color w:val="000000"/>
          <w:sz w:val="32"/>
          <w:szCs w:val="20"/>
        </w:rPr>
        <w:t>年   月    日</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经协商，双方</w:t>
      </w:r>
      <w:r>
        <w:rPr>
          <w:rFonts w:hint="eastAsia" w:ascii="仿宋_GB2312" w:hAnsi="仿宋_GB2312" w:eastAsia="仿宋_GB2312" w:cs="仿宋_GB2312"/>
          <w:sz w:val="32"/>
          <w:szCs w:val="32"/>
          <w:lang w:eastAsia="zh-CN"/>
        </w:rPr>
        <w:t>就</w:t>
      </w:r>
      <w:r>
        <w:rPr>
          <w:rFonts w:hint="eastAsia" w:ascii="仿宋_GB2312" w:hAnsi="仿宋_GB2312" w:eastAsia="仿宋_GB2312" w:cs="仿宋_GB2312"/>
          <w:sz w:val="32"/>
          <w:szCs w:val="32"/>
          <w:lang w:val="en-US" w:eastAsia="zh-CN"/>
        </w:rPr>
        <w:t>70387218 卸卷小车托辊带抱闸盘\Φ200×1500聚氨酯705874389卷取机采购</w:t>
      </w:r>
      <w:r>
        <w:rPr>
          <w:rFonts w:hint="eastAsia" w:ascii="仿宋_GB2312" w:hAnsi="仿宋_GB2312" w:eastAsia="仿宋_GB2312" w:cs="仿宋_GB2312"/>
          <w:sz w:val="32"/>
          <w:szCs w:val="32"/>
        </w:rPr>
        <w:t>技术</w:t>
      </w:r>
      <w:r>
        <w:rPr>
          <w:rFonts w:hint="eastAsia" w:ascii="仿宋_GB2312" w:hAnsi="仿宋_GB2312" w:eastAsia="仿宋_GB2312" w:cs="仿宋_GB2312"/>
          <w:sz w:val="32"/>
          <w:szCs w:val="32"/>
          <w:lang w:eastAsia="zh-CN"/>
        </w:rPr>
        <w:t>规格</w:t>
      </w:r>
      <w:r>
        <w:rPr>
          <w:rFonts w:hint="eastAsia" w:ascii="仿宋_GB2312" w:hAnsi="仿宋_GB2312" w:eastAsia="仿宋_GB2312" w:cs="仿宋_GB2312"/>
          <w:sz w:val="32"/>
          <w:szCs w:val="32"/>
        </w:rPr>
        <w:t>要求达成如下协议：</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b/>
          <w:bCs w:val="0"/>
          <w:sz w:val="32"/>
          <w:szCs w:val="32"/>
          <w:lang w:val="en-US" w:eastAsia="zh-CN"/>
        </w:rPr>
      </w:pPr>
      <w:r>
        <w:rPr>
          <w:rFonts w:hint="eastAsia" w:ascii="仿宋_GB2312" w:hAnsi="仿宋_GB2312" w:eastAsia="仿宋_GB2312" w:cs="仿宋_GB2312"/>
          <w:b/>
          <w:bCs w:val="0"/>
          <w:sz w:val="32"/>
          <w:szCs w:val="32"/>
          <w:lang w:val="en-US" w:eastAsia="zh-CN"/>
        </w:rPr>
        <w:t>总则</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1.本技术规格书作为甲方设备订货合同的附件，与订货合同同时生效，具有同等法律效力。</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2.本技术规格书所提出的是最低标准的技术要求，并未对一切技术细节做出规定，也未充分引述有关标准和规范的条文，乙方应保证提供符合有关标准和技术文件的优质产品。</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3.乙方提供的设备必须是全新、规范、先进的高质量可靠产品，能够确保连续稳定的工作。</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4.乙方对技术规格书和合同文件（包括图纸、说明书等）均采用国际单位。</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5.乙方在合同货物制造中，发生侵犯专利的行为时其侵权责任与甲方无关。</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_GB2312" w:hAnsi="仿宋_GB2312" w:eastAsia="仿宋_GB2312" w:cs="仿宋_GB2312"/>
          <w:b/>
          <w:bCs w:val="0"/>
          <w:kern w:val="2"/>
          <w:sz w:val="32"/>
          <w:szCs w:val="32"/>
          <w:lang w:val="en-US" w:eastAsia="zh-CN"/>
        </w:rPr>
      </w:pPr>
      <w:r>
        <w:rPr>
          <w:rFonts w:hint="eastAsia" w:ascii="仿宋_GB2312" w:hAnsi="仿宋_GB2312" w:eastAsia="仿宋_GB2312" w:cs="仿宋_GB2312"/>
          <w:b/>
          <w:bCs w:val="0"/>
          <w:kern w:val="2"/>
          <w:sz w:val="32"/>
          <w:szCs w:val="32"/>
          <w:lang w:val="en-US" w:eastAsia="zh-CN"/>
        </w:rPr>
        <w:t>二、技术要求</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1.安装环境</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 安装地点：宏宇新材料公司酸镀作业区</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 使用环境：环境温度：-30~60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1.3 使用主机：卸卷小车</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1.4 现场海拔：1700 m</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2.卸卷小车托辊技术参数：</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1）卸卷小车托辊：尺寸、公差、硬度、粗糙度等严格按照图纸加工。</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2）卸卷小车托辊必须具备跟原主机上的入口托辊总成互换的条件。</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3）卸卷小车托辊端部有抱闸盘严格按照图纸加工。</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4）卸卷小车托辊轴承两侧端盖应按图加工。</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3.设备性能保证值</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en-US" w:eastAsia="en-US"/>
        </w:rPr>
        <w:t>.1 乙方生产的</w:t>
      </w:r>
      <w:r>
        <w:rPr>
          <w:rFonts w:hint="eastAsia" w:ascii="仿宋_GB2312" w:hAnsi="仿宋_GB2312" w:eastAsia="仿宋_GB2312" w:cs="仿宋_GB2312"/>
          <w:sz w:val="32"/>
          <w:szCs w:val="32"/>
          <w:lang w:val="en-US" w:eastAsia="zh-CN"/>
        </w:rPr>
        <w:t>卸卷小车托辊</w:t>
      </w:r>
      <w:r>
        <w:rPr>
          <w:rFonts w:hint="eastAsia" w:ascii="仿宋_GB2312" w:hAnsi="仿宋_GB2312" w:eastAsia="仿宋_GB2312" w:cs="仿宋_GB2312"/>
          <w:sz w:val="32"/>
          <w:szCs w:val="32"/>
          <w:lang w:val="en-US" w:eastAsia="en-US"/>
        </w:rPr>
        <w:t>必须满足技术参数及技术要求，</w:t>
      </w:r>
      <w:r>
        <w:rPr>
          <w:rFonts w:hint="eastAsia" w:ascii="仿宋_GB2312" w:hAnsi="仿宋_GB2312" w:eastAsia="仿宋_GB2312" w:cs="仿宋_GB2312"/>
          <w:sz w:val="32"/>
          <w:szCs w:val="32"/>
          <w:lang w:val="en-US" w:eastAsia="zh-CN"/>
        </w:rPr>
        <w:t>能够与现场使用的卸卷小车托辊互换。</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en-US"/>
        </w:rPr>
      </w:pPr>
      <w:r>
        <w:rPr>
          <w:rFonts w:hint="eastAsia" w:ascii="仿宋_GB2312" w:hAnsi="仿宋_GB2312" w:eastAsia="仿宋_GB2312" w:cs="仿宋_GB2312"/>
          <w:sz w:val="32"/>
          <w:szCs w:val="32"/>
          <w:lang w:val="en-US" w:eastAsia="zh-CN"/>
        </w:rPr>
        <w:t>3.2 质保期2年</w:t>
      </w:r>
      <w:r>
        <w:rPr>
          <w:rFonts w:hint="eastAsia" w:ascii="仿宋_GB2312" w:hAnsi="仿宋_GB2312" w:eastAsia="仿宋_GB2312" w:cs="仿宋_GB2312"/>
          <w:sz w:val="32"/>
          <w:szCs w:val="32"/>
          <w:lang w:val="en-US" w:eastAsia="en-US"/>
        </w:rPr>
        <w:t>，在</w:t>
      </w:r>
      <w:r>
        <w:rPr>
          <w:rFonts w:hint="eastAsia" w:ascii="仿宋_GB2312" w:hAnsi="仿宋_GB2312" w:eastAsia="仿宋_GB2312" w:cs="仿宋_GB2312"/>
          <w:sz w:val="32"/>
          <w:szCs w:val="32"/>
          <w:lang w:val="en-US" w:eastAsia="zh-CN"/>
        </w:rPr>
        <w:t>2年</w:t>
      </w:r>
      <w:r>
        <w:rPr>
          <w:rFonts w:hint="eastAsia" w:ascii="仿宋_GB2312" w:hAnsi="仿宋_GB2312" w:eastAsia="仿宋_GB2312" w:cs="仿宋_GB2312"/>
          <w:sz w:val="32"/>
          <w:szCs w:val="32"/>
          <w:lang w:val="en-US" w:eastAsia="en-US"/>
        </w:rPr>
        <w:t>内辊子</w:t>
      </w:r>
      <w:r>
        <w:rPr>
          <w:rFonts w:hint="eastAsia" w:ascii="仿宋_GB2312" w:hAnsi="仿宋_GB2312" w:eastAsia="仿宋_GB2312" w:cs="仿宋_GB2312"/>
          <w:sz w:val="32"/>
          <w:szCs w:val="32"/>
          <w:lang w:val="en-US" w:eastAsia="zh-CN"/>
        </w:rPr>
        <w:t>正常使用中不得出现损坏、掉肉、裂纹或失效等缺陷，不得影响卸卷小车托辊正常使用</w:t>
      </w:r>
      <w:r>
        <w:rPr>
          <w:rFonts w:hint="eastAsia" w:ascii="仿宋_GB2312" w:hAnsi="仿宋_GB2312" w:eastAsia="仿宋_GB2312" w:cs="仿宋_GB2312"/>
          <w:sz w:val="32"/>
          <w:szCs w:val="32"/>
          <w:lang w:val="en-US" w:eastAsia="en-US"/>
        </w:rPr>
        <w:t>。</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_GB2312" w:hAnsi="仿宋_GB2312" w:eastAsia="仿宋_GB2312" w:cs="仿宋_GB2312"/>
          <w:b/>
          <w:bCs w:val="0"/>
          <w:kern w:val="2"/>
          <w:sz w:val="32"/>
          <w:szCs w:val="32"/>
          <w:lang w:val="en-US" w:eastAsia="zh-CN"/>
        </w:rPr>
      </w:pPr>
      <w:r>
        <w:rPr>
          <w:rFonts w:hint="eastAsia" w:ascii="仿宋_GB2312" w:hAnsi="仿宋_GB2312" w:eastAsia="仿宋_GB2312" w:cs="仿宋_GB2312"/>
          <w:b/>
          <w:bCs w:val="0"/>
          <w:kern w:val="2"/>
          <w:sz w:val="32"/>
          <w:szCs w:val="32"/>
          <w:lang w:val="en-US" w:eastAsia="zh-CN"/>
        </w:rPr>
        <w:t>供货范围：</w:t>
      </w:r>
    </w:p>
    <w:tbl>
      <w:tblPr>
        <w:tblStyle w:val="6"/>
        <w:tblW w:w="8597" w:type="dxa"/>
        <w:jc w:val="center"/>
        <w:tblInd w:w="0" w:type="dxa"/>
        <w:tblLayout w:type="fixed"/>
        <w:tblCellMar>
          <w:top w:w="0" w:type="dxa"/>
          <w:left w:w="108" w:type="dxa"/>
          <w:bottom w:w="0" w:type="dxa"/>
          <w:right w:w="108" w:type="dxa"/>
        </w:tblCellMar>
      </w:tblPr>
      <w:tblGrid>
        <w:gridCol w:w="685"/>
        <w:gridCol w:w="1218"/>
        <w:gridCol w:w="3305"/>
        <w:gridCol w:w="656"/>
        <w:gridCol w:w="2733"/>
      </w:tblGrid>
      <w:tr>
        <w:tblPrEx>
          <w:tblLayout w:type="fixed"/>
          <w:tblCellMar>
            <w:top w:w="0" w:type="dxa"/>
            <w:left w:w="108" w:type="dxa"/>
            <w:bottom w:w="0" w:type="dxa"/>
            <w:right w:w="108" w:type="dxa"/>
          </w:tblCellMar>
        </w:tblPrEx>
        <w:trPr>
          <w:trHeight w:val="556" w:hRule="atLeast"/>
          <w:jc w:val="center"/>
        </w:trPr>
        <w:tc>
          <w:tcPr>
            <w:tcW w:w="685"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hint="eastAsia" w:ascii="宋体" w:hAnsi="宋体" w:eastAsia="宋体" w:cs="宋体"/>
                <w:spacing w:val="-4"/>
                <w:kern w:val="28"/>
                <w:sz w:val="21"/>
                <w:szCs w:val="21"/>
              </w:rPr>
            </w:pPr>
            <w:r>
              <w:rPr>
                <w:rFonts w:hint="eastAsia" w:ascii="宋体" w:hAnsi="宋体" w:eastAsia="宋体" w:cs="宋体"/>
                <w:spacing w:val="-4"/>
                <w:kern w:val="28"/>
                <w:sz w:val="21"/>
                <w:szCs w:val="21"/>
              </w:rPr>
              <w:t>序号</w:t>
            </w:r>
          </w:p>
        </w:tc>
        <w:tc>
          <w:tcPr>
            <w:tcW w:w="1218"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hint="eastAsia" w:ascii="宋体" w:hAnsi="宋体" w:eastAsia="宋体" w:cs="宋体"/>
                <w:spacing w:val="-4"/>
                <w:kern w:val="28"/>
                <w:sz w:val="21"/>
                <w:szCs w:val="21"/>
                <w:lang w:val="en-US" w:eastAsia="zh-CN"/>
              </w:rPr>
            </w:pPr>
            <w:r>
              <w:rPr>
                <w:rFonts w:hint="eastAsia" w:ascii="宋体" w:hAnsi="宋体" w:eastAsia="宋体" w:cs="宋体"/>
                <w:spacing w:val="-4"/>
                <w:kern w:val="28"/>
                <w:sz w:val="21"/>
                <w:szCs w:val="21"/>
                <w:lang w:val="en-US" w:eastAsia="zh-CN"/>
              </w:rPr>
              <w:t>物料编码</w:t>
            </w:r>
          </w:p>
        </w:tc>
        <w:tc>
          <w:tcPr>
            <w:tcW w:w="3305"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hint="eastAsia" w:ascii="宋体" w:hAnsi="宋体" w:eastAsia="宋体" w:cs="宋体"/>
                <w:spacing w:val="-4"/>
                <w:kern w:val="28"/>
                <w:sz w:val="21"/>
                <w:szCs w:val="21"/>
              </w:rPr>
            </w:pPr>
            <w:r>
              <w:rPr>
                <w:rFonts w:hint="eastAsia" w:ascii="宋体" w:hAnsi="宋体" w:eastAsia="宋体" w:cs="宋体"/>
                <w:spacing w:val="-4"/>
                <w:kern w:val="28"/>
                <w:sz w:val="21"/>
                <w:szCs w:val="21"/>
              </w:rPr>
              <w:t>名称</w:t>
            </w:r>
          </w:p>
        </w:tc>
        <w:tc>
          <w:tcPr>
            <w:tcW w:w="656"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hint="eastAsia" w:ascii="宋体" w:hAnsi="宋体" w:eastAsia="宋体" w:cs="宋体"/>
                <w:spacing w:val="-4"/>
                <w:kern w:val="28"/>
                <w:sz w:val="21"/>
                <w:szCs w:val="21"/>
              </w:rPr>
            </w:pPr>
            <w:r>
              <w:rPr>
                <w:rFonts w:hint="eastAsia" w:ascii="宋体" w:hAnsi="宋体" w:eastAsia="宋体" w:cs="宋体"/>
                <w:spacing w:val="-4"/>
                <w:kern w:val="28"/>
                <w:sz w:val="21"/>
                <w:szCs w:val="21"/>
              </w:rPr>
              <w:t>数量</w:t>
            </w:r>
          </w:p>
        </w:tc>
        <w:tc>
          <w:tcPr>
            <w:tcW w:w="2733"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hint="eastAsia" w:ascii="宋体" w:hAnsi="宋体" w:eastAsia="宋体" w:cs="宋体"/>
                <w:spacing w:val="-4"/>
                <w:kern w:val="28"/>
                <w:sz w:val="21"/>
                <w:szCs w:val="21"/>
              </w:rPr>
            </w:pPr>
            <w:r>
              <w:rPr>
                <w:rFonts w:hint="eastAsia" w:ascii="宋体" w:hAnsi="宋体" w:eastAsia="宋体" w:cs="宋体"/>
                <w:spacing w:val="-4"/>
                <w:kern w:val="28"/>
                <w:sz w:val="21"/>
                <w:szCs w:val="21"/>
                <w:lang w:val="en-US" w:eastAsia="zh-CN"/>
              </w:rPr>
              <w:t>备注</w:t>
            </w:r>
          </w:p>
        </w:tc>
      </w:tr>
      <w:tr>
        <w:tblPrEx>
          <w:tblLayout w:type="fixed"/>
          <w:tblCellMar>
            <w:top w:w="0" w:type="dxa"/>
            <w:left w:w="108" w:type="dxa"/>
            <w:bottom w:w="0" w:type="dxa"/>
            <w:right w:w="108" w:type="dxa"/>
          </w:tblCellMar>
        </w:tblPrEx>
        <w:trPr>
          <w:trHeight w:val="678" w:hRule="atLeast"/>
          <w:jc w:val="center"/>
        </w:trPr>
        <w:tc>
          <w:tcPr>
            <w:tcW w:w="685" w:type="dxa"/>
            <w:tcBorders>
              <w:top w:val="nil"/>
              <w:left w:val="single" w:color="auto" w:sz="4" w:space="0"/>
              <w:bottom w:val="single" w:color="auto" w:sz="4" w:space="0"/>
              <w:right w:val="single" w:color="auto" w:sz="4" w:space="0"/>
            </w:tcBorders>
            <w:noWrap/>
            <w:vAlign w:val="center"/>
          </w:tcPr>
          <w:p>
            <w:pPr>
              <w:spacing w:line="360" w:lineRule="auto"/>
              <w:jc w:val="center"/>
              <w:rPr>
                <w:rFonts w:hint="eastAsia" w:ascii="宋体" w:hAnsi="宋体" w:eastAsia="宋体" w:cs="宋体"/>
                <w:spacing w:val="-4"/>
                <w:kern w:val="28"/>
                <w:sz w:val="21"/>
                <w:szCs w:val="21"/>
              </w:rPr>
            </w:pPr>
            <w:r>
              <w:rPr>
                <w:rFonts w:hint="eastAsia" w:ascii="宋体" w:hAnsi="宋体" w:eastAsia="宋体" w:cs="宋体"/>
                <w:spacing w:val="-4"/>
                <w:kern w:val="28"/>
                <w:sz w:val="21"/>
                <w:szCs w:val="21"/>
              </w:rPr>
              <w:t>1</w:t>
            </w:r>
          </w:p>
        </w:tc>
        <w:tc>
          <w:tcPr>
            <w:tcW w:w="1218" w:type="dxa"/>
            <w:tcBorders>
              <w:top w:val="nil"/>
              <w:left w:val="nil"/>
              <w:bottom w:val="single" w:color="auto" w:sz="4" w:space="0"/>
              <w:right w:val="single" w:color="auto" w:sz="4" w:space="0"/>
            </w:tcBorders>
            <w:noWrap/>
            <w:vAlign w:val="center"/>
          </w:tcPr>
          <w:p>
            <w:pPr>
              <w:spacing w:line="360" w:lineRule="auto"/>
              <w:jc w:val="center"/>
              <w:rPr>
                <w:rFonts w:hint="eastAsia" w:ascii="宋体" w:hAnsi="宋体" w:eastAsia="宋体" w:cs="宋体"/>
                <w:spacing w:val="-4"/>
                <w:kern w:val="28"/>
                <w:sz w:val="21"/>
                <w:szCs w:val="21"/>
                <w:lang w:val="en-US" w:eastAsia="zh-CN"/>
              </w:rPr>
            </w:pPr>
            <w:r>
              <w:rPr>
                <w:rFonts w:hint="eastAsia" w:ascii="仿宋_GB2312" w:hAnsi="仿宋_GB2312" w:eastAsia="仿宋_GB2312" w:cs="仿宋_GB2312"/>
                <w:sz w:val="32"/>
                <w:szCs w:val="32"/>
                <w:lang w:val="en-US" w:eastAsia="zh-CN"/>
              </w:rPr>
              <w:t>70387218</w:t>
            </w:r>
          </w:p>
        </w:tc>
        <w:tc>
          <w:tcPr>
            <w:tcW w:w="3305" w:type="dxa"/>
            <w:tcBorders>
              <w:top w:val="nil"/>
              <w:left w:val="nil"/>
              <w:bottom w:val="single" w:color="auto" w:sz="4" w:space="0"/>
              <w:right w:val="single" w:color="auto" w:sz="4" w:space="0"/>
            </w:tcBorders>
            <w:noWrap/>
            <w:vAlign w:val="center"/>
          </w:tcPr>
          <w:p>
            <w:pPr>
              <w:spacing w:line="360" w:lineRule="auto"/>
              <w:jc w:val="center"/>
              <w:rPr>
                <w:rFonts w:hint="eastAsia" w:ascii="宋体" w:hAnsi="宋体" w:eastAsia="宋体" w:cs="宋体"/>
                <w:spacing w:val="-4"/>
                <w:kern w:val="28"/>
                <w:sz w:val="21"/>
                <w:szCs w:val="21"/>
                <w:lang w:val="en-US" w:eastAsia="zh-CN"/>
              </w:rPr>
            </w:pPr>
            <w:r>
              <w:rPr>
                <w:rFonts w:hint="eastAsia" w:ascii="仿宋_GB2312" w:hAnsi="仿宋_GB2312" w:eastAsia="仿宋_GB2312" w:cs="仿宋_GB2312"/>
                <w:sz w:val="32"/>
                <w:szCs w:val="32"/>
                <w:lang w:val="en-US" w:eastAsia="zh-CN"/>
              </w:rPr>
              <w:t>卸卷小车托辊带抱闸盘\Φ200×1500 聚氨酯</w:t>
            </w:r>
          </w:p>
        </w:tc>
        <w:tc>
          <w:tcPr>
            <w:tcW w:w="656" w:type="dxa"/>
            <w:tcBorders>
              <w:top w:val="nil"/>
              <w:left w:val="nil"/>
              <w:bottom w:val="single" w:color="auto" w:sz="4" w:space="0"/>
              <w:right w:val="single" w:color="auto" w:sz="4" w:space="0"/>
            </w:tcBorders>
            <w:noWrap/>
            <w:vAlign w:val="center"/>
          </w:tcPr>
          <w:p>
            <w:pPr>
              <w:spacing w:line="360" w:lineRule="auto"/>
              <w:jc w:val="center"/>
              <w:rPr>
                <w:rFonts w:hint="eastAsia" w:ascii="宋体" w:hAnsi="宋体" w:eastAsia="宋体" w:cs="宋体"/>
                <w:spacing w:val="-4"/>
                <w:kern w:val="28"/>
                <w:sz w:val="21"/>
                <w:szCs w:val="21"/>
                <w:lang w:val="en-US" w:eastAsia="zh-CN"/>
              </w:rPr>
            </w:pPr>
            <w:r>
              <w:rPr>
                <w:rFonts w:hint="eastAsia" w:ascii="宋体" w:hAnsi="宋体" w:cs="宋体"/>
                <w:spacing w:val="-4"/>
                <w:kern w:val="28"/>
                <w:sz w:val="21"/>
                <w:szCs w:val="21"/>
                <w:lang w:val="en-US" w:eastAsia="zh-CN"/>
              </w:rPr>
              <w:t>2</w:t>
            </w:r>
            <w:r>
              <w:rPr>
                <w:rFonts w:hint="eastAsia" w:ascii="宋体" w:hAnsi="宋体" w:eastAsia="宋体" w:cs="宋体"/>
                <w:spacing w:val="-4"/>
                <w:kern w:val="28"/>
                <w:sz w:val="21"/>
                <w:szCs w:val="21"/>
                <w:lang w:val="en-US" w:eastAsia="zh-CN"/>
              </w:rPr>
              <w:t>套</w:t>
            </w:r>
          </w:p>
        </w:tc>
        <w:tc>
          <w:tcPr>
            <w:tcW w:w="2733" w:type="dxa"/>
            <w:tcBorders>
              <w:top w:val="nil"/>
              <w:left w:val="nil"/>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pacing w:val="-4"/>
                <w:kern w:val="28"/>
                <w:sz w:val="21"/>
                <w:szCs w:val="21"/>
                <w:lang w:val="en-US" w:eastAsia="zh-CN"/>
              </w:rPr>
            </w:pPr>
            <w:r>
              <w:rPr>
                <w:rFonts w:hint="eastAsia" w:ascii="仿宋_GB2312" w:hAnsi="仿宋_GB2312" w:eastAsia="仿宋_GB2312" w:cs="仿宋_GB2312"/>
                <w:sz w:val="32"/>
                <w:szCs w:val="32"/>
                <w:lang w:eastAsia="zh-CN"/>
              </w:rPr>
              <w:t>严格按照技术规格书中的要求进行采购制作</w:t>
            </w:r>
          </w:p>
        </w:tc>
      </w:tr>
    </w:tbl>
    <w:p>
      <w:pPr>
        <w:pStyle w:val="2"/>
        <w:rPr>
          <w:rFonts w:hint="eastAsia"/>
          <w:lang w:val="en-US" w:eastAsia="en-US"/>
        </w:rPr>
      </w:pP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_GB2312" w:hAnsi="仿宋_GB2312" w:eastAsia="仿宋_GB2312" w:cs="仿宋_GB2312"/>
          <w:b/>
          <w:bCs w:val="0"/>
          <w:kern w:val="2"/>
          <w:sz w:val="32"/>
          <w:szCs w:val="32"/>
          <w:lang w:val="en-US" w:eastAsia="zh-CN"/>
        </w:rPr>
      </w:pPr>
      <w:r>
        <w:rPr>
          <w:rFonts w:hint="eastAsia" w:ascii="仿宋_GB2312" w:hAnsi="仿宋_GB2312" w:eastAsia="仿宋_GB2312" w:cs="仿宋_GB2312"/>
          <w:b/>
          <w:bCs w:val="0"/>
          <w:kern w:val="2"/>
          <w:sz w:val="32"/>
          <w:szCs w:val="32"/>
          <w:lang w:val="en-US" w:eastAsia="zh-CN"/>
        </w:rPr>
        <w:t>四、双方义务和责任</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1.甲方：</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1.1甲方提供工艺要求和使用要求，乙方秉着客户至上的原则，积极进行及时、准确的技术支持与服务，使产品满足最终性能要求和使用要求。</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1.2 向乙方提供技术规格要求，配合乙方完成设备的上线测试及精度调整。</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2.乙方：</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2.1乙方负责所供物品的运输、报关等一切费用。</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2.2乙方提供的卸卷小车托辊带抱闸盘\Φ200×1500 聚氨酯应能满足甲方现场尺寸要求，能够与甲方设备匹配安装，质保期限内不属于甲方使用不当发生的质量问题，乙方无偿更换。</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2.3乙方在质保期内免费处理所有故障，更换零部件，保证系统正常运行。</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2.4乙方在交货时甲方要确认好备件数量及明细，如因乙方运输导致零部件损坏丢失的，由乙方进行实物赔偿负责。</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2.5乙方在供货合同签订完成后按合同期限向甲方交货。</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2.6在质保期内如因备件质量问题导致甲方发生设备或产品质量事故故障等，损失由乙方承担，并无偿提供合格件供甲方设备功能恢复的备件。</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_GB2312" w:hAnsi="仿宋_GB2312" w:eastAsia="仿宋_GB2312" w:cs="仿宋_GB2312"/>
          <w:b/>
          <w:bCs w:val="0"/>
          <w:kern w:val="2"/>
          <w:sz w:val="32"/>
          <w:szCs w:val="32"/>
          <w:lang w:val="en-US" w:eastAsia="zh-CN"/>
        </w:rPr>
      </w:pPr>
      <w:r>
        <w:rPr>
          <w:rFonts w:hint="eastAsia" w:ascii="仿宋_GB2312" w:hAnsi="仿宋_GB2312" w:eastAsia="仿宋_GB2312" w:cs="仿宋_GB2312"/>
          <w:b/>
          <w:bCs w:val="0"/>
          <w:kern w:val="2"/>
          <w:sz w:val="32"/>
          <w:szCs w:val="32"/>
          <w:lang w:val="en-US" w:eastAsia="zh-CN"/>
        </w:rPr>
        <w:t>五、质量保证</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1.乙方供货的卸卷小车托辊带抱闸盘\Φ200×1500 聚氨酯应符合制造地所在的法律法规，还应符合《中华人民共和国安全生产法》等国家法律法规和行业标准。</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2.乙方提供的设备必须具有同行业近几年内的先进制造水平，采用先进工艺，合格材料，成熟的技术或专利技术。乙方在合同中提供的设备和服务发生侵犯专利的行为时，其侵权责任与甲方无关。</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3.乙方确保符合国家有关环保、节能、消防、抗震等现行标准及现行设计、安装规范、规程，严禁使用国家明令禁止、淘汰的设备设施。</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4.乙方提供所供设备的官方采购证明材料，禁止使用假冒伪劣或贴牌产品。</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5.若乙方所供设备有质量问题或为假冒产品，乙方无偿全部更换为合格产品，期间产生的影响生产损失和人力成本由乙方承担。</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rPr>
        <w:t>6.</w:t>
      </w:r>
      <w:r>
        <w:rPr>
          <w:rFonts w:hint="eastAsia" w:ascii="仿宋_GB2312" w:hAnsi="仿宋_GB2312" w:eastAsia="仿宋_GB2312" w:cs="仿宋_GB2312"/>
          <w:sz w:val="32"/>
          <w:szCs w:val="32"/>
          <w:lang w:val="en-US" w:eastAsia="zh-CN"/>
        </w:rPr>
        <w:t>乙方必须提供质量可靠的产品，如在后续使用过程中发现存在质量问题或产品在使用过程中出现质量问题，甲方有权对产品进行退货，乙方赔付甲方造成的所有损失。</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_GB2312" w:hAnsi="仿宋_GB2312" w:eastAsia="仿宋_GB2312" w:cs="仿宋_GB2312"/>
          <w:b/>
          <w:bCs w:val="0"/>
          <w:kern w:val="2"/>
          <w:sz w:val="32"/>
          <w:szCs w:val="32"/>
          <w:lang w:val="en-US" w:eastAsia="zh-CN"/>
        </w:rPr>
      </w:pPr>
      <w:r>
        <w:rPr>
          <w:rFonts w:hint="eastAsia" w:ascii="仿宋_GB2312" w:hAnsi="仿宋_GB2312" w:eastAsia="仿宋_GB2312" w:cs="仿宋_GB2312"/>
          <w:b/>
          <w:bCs w:val="0"/>
          <w:kern w:val="2"/>
          <w:sz w:val="32"/>
          <w:szCs w:val="32"/>
          <w:lang w:val="en-US" w:eastAsia="zh-CN"/>
        </w:rPr>
        <w:t>六、售后服务</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1.产品质量保证期指产品自上线投用日起12个月，若在质保期内出现质量问题，乙方在接到甲方的通知后，24小时内给予答复，如需现场服务，乙方安排人员48小时内赶到现场。</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2.质保期内质量问题、设计问题及非甲方造成的组装问题产生的损坏，由乙方指导甲方人员安装和测试。</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3.质量保证期外出现的设备问题，乙方应积极协调技术人员给于甲方提供现场指导、远程指导或提供解决方案至问题解决。</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_GB2312" w:hAnsi="仿宋_GB2312" w:eastAsia="仿宋_GB2312" w:cs="仿宋_GB2312"/>
          <w:b/>
          <w:bCs w:val="0"/>
          <w:kern w:val="2"/>
          <w:sz w:val="32"/>
          <w:szCs w:val="32"/>
          <w:lang w:val="en-US" w:eastAsia="zh-CN"/>
        </w:rPr>
      </w:pPr>
      <w:r>
        <w:rPr>
          <w:rFonts w:hint="eastAsia" w:ascii="仿宋_GB2312" w:hAnsi="仿宋_GB2312" w:eastAsia="仿宋_GB2312" w:cs="仿宋_GB2312"/>
          <w:b/>
          <w:bCs w:val="0"/>
          <w:kern w:val="2"/>
          <w:sz w:val="32"/>
          <w:szCs w:val="32"/>
          <w:lang w:val="en-US" w:eastAsia="zh-CN"/>
        </w:rPr>
        <w:t>七、资料交付</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1.提供产品质量合格证、产品说明书、技术手册、安装指南、报关单等。</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2.满足本规格书所列全部技术参数要求</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3.到货备件尺寸符合现场安装要求。</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4.邮寄地址：</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甲方邮寄信息：酒钢集团甘肃宏兴宏宇新材料有限责任公司</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邮政编码：735100</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收件人；徐云飞  电子邮箱：xuyunfei@jiugang.com</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_GB2312" w:hAnsi="仿宋_GB2312" w:eastAsia="仿宋_GB2312" w:cs="仿宋_GB2312"/>
          <w:b/>
          <w:bCs w:val="0"/>
          <w:kern w:val="2"/>
          <w:sz w:val="32"/>
          <w:szCs w:val="32"/>
          <w:lang w:val="en-US" w:eastAsia="zh-CN"/>
        </w:rPr>
      </w:pPr>
      <w:r>
        <w:rPr>
          <w:rFonts w:hint="eastAsia" w:ascii="仿宋_GB2312" w:hAnsi="仿宋_GB2312" w:eastAsia="仿宋_GB2312" w:cs="仿宋_GB2312"/>
          <w:b/>
          <w:bCs w:val="0"/>
          <w:kern w:val="2"/>
          <w:sz w:val="32"/>
          <w:szCs w:val="32"/>
          <w:lang w:val="en-US" w:eastAsia="zh-CN"/>
        </w:rPr>
        <w:t>八、交货时间及地点</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1.交货时间：合同签订后12个月内。</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2.交货地点：甘肃宏兴宏宇新材料有限责任公司酸镀作业区现场。</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_GB2312" w:hAnsi="仿宋_GB2312" w:eastAsia="仿宋_GB2312" w:cs="仿宋_GB2312"/>
          <w:b/>
          <w:bCs w:val="0"/>
          <w:kern w:val="2"/>
          <w:sz w:val="32"/>
          <w:szCs w:val="32"/>
          <w:lang w:val="en-US" w:eastAsia="zh-CN"/>
        </w:rPr>
      </w:pPr>
      <w:r>
        <w:rPr>
          <w:rFonts w:hint="eastAsia" w:ascii="仿宋_GB2312" w:hAnsi="仿宋_GB2312" w:eastAsia="仿宋_GB2312" w:cs="仿宋_GB2312"/>
          <w:b/>
          <w:bCs w:val="0"/>
          <w:kern w:val="2"/>
          <w:sz w:val="32"/>
          <w:szCs w:val="32"/>
          <w:lang w:val="en-US" w:eastAsia="zh-CN"/>
        </w:rPr>
        <w:t>九、其它事项：</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t xml:space="preserve">本技术规格书内容经由甲乙双方于   </w:t>
      </w:r>
      <w:r>
        <w:rPr>
          <w:rFonts w:hint="default"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val="en-US" w:eastAsia="zh-CN"/>
        </w:rPr>
        <w:t>年   </w:t>
      </w:r>
      <w:r>
        <w:rPr>
          <w:rFonts w:hint="default"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val="en-US" w:eastAsia="zh-CN"/>
        </w:rPr>
        <w:t xml:space="preserve">月   </w:t>
      </w:r>
      <w:r>
        <w:rPr>
          <w:rFonts w:hint="default"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val="en-US" w:eastAsia="zh-CN"/>
        </w:rPr>
        <w:t xml:space="preserve">日    </w:t>
      </w:r>
      <w:r>
        <w:rPr>
          <w:rFonts w:hint="default"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val="en-US" w:eastAsia="zh-CN"/>
        </w:rPr>
        <w:t xml:space="preserve">时-   </w:t>
      </w:r>
      <w:r>
        <w:rPr>
          <w:rFonts w:hint="default"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val="en-US" w:eastAsia="zh-CN"/>
        </w:rPr>
        <w:t xml:space="preserve">时通过    </w:t>
      </w:r>
      <w:r>
        <w:rPr>
          <w:rFonts w:hint="default"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val="en-US" w:eastAsia="zh-CN"/>
        </w:rPr>
        <w:t>方式商定。</w:t>
      </w:r>
      <w:bookmarkStart w:id="0" w:name="_GoBack"/>
      <w:bookmarkEnd w:id="0"/>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2.甲乙双方应当就签订本技术规格书的相关事宜保密，不得将签订主体、时间、内容等信息透露给其他第三人。</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3.若乙方公司不能中标，则本技术规格书自动失效，双方不承担任何责任。</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4.本技术规格书一式四份，甲方三份，乙方一份。</w:t>
      </w:r>
    </w:p>
    <w:p>
      <w:pPr>
        <w:adjustRightInd w:val="0"/>
        <w:snapToGrid w:val="0"/>
        <w:spacing w:line="360" w:lineRule="auto"/>
        <w:rPr>
          <w:rFonts w:hint="eastAsia" w:ascii="宋体" w:hAnsi="宋体" w:eastAsia="宋体" w:cs="宋体"/>
          <w:b w:val="0"/>
          <w:bCs/>
          <w:sz w:val="28"/>
          <w:szCs w:val="28"/>
          <w:lang w:eastAsia="zh-CN"/>
        </w:rPr>
      </w:pPr>
    </w:p>
    <w:p>
      <w:pPr>
        <w:keepNext w:val="0"/>
        <w:keepLines w:val="0"/>
        <w:pageBreakBefore w:val="0"/>
        <w:widowControl w:val="0"/>
        <w:kinsoku/>
        <w:wordWrap/>
        <w:overflowPunct/>
        <w:topLinePunct w:val="0"/>
        <w:autoSpaceDE/>
        <w:autoSpaceDN/>
        <w:bidi w:val="0"/>
        <w:adjustRightInd/>
        <w:snapToGrid/>
        <w:spacing w:line="72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甲</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方：酒钢集团甘肃宏兴宏宇新材料有限责任公司</w:t>
      </w:r>
    </w:p>
    <w:p>
      <w:pPr>
        <w:keepNext w:val="0"/>
        <w:keepLines w:val="0"/>
        <w:pageBreakBefore w:val="0"/>
        <w:widowControl w:val="0"/>
        <w:kinsoku/>
        <w:wordWrap/>
        <w:overflowPunct/>
        <w:topLinePunct w:val="0"/>
        <w:autoSpaceDE/>
        <w:autoSpaceDN/>
        <w:bidi w:val="0"/>
        <w:adjustRightInd/>
        <w:snapToGrid/>
        <w:spacing w:line="72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甲方代表：              </w:t>
      </w:r>
    </w:p>
    <w:p>
      <w:pPr>
        <w:keepNext w:val="0"/>
        <w:keepLines w:val="0"/>
        <w:pageBreakBefore w:val="0"/>
        <w:widowControl w:val="0"/>
        <w:kinsoku/>
        <w:wordWrap/>
        <w:overflowPunct/>
        <w:topLinePunct w:val="0"/>
        <w:autoSpaceDE/>
        <w:autoSpaceDN/>
        <w:bidi w:val="0"/>
        <w:adjustRightInd/>
        <w:snapToGrid/>
        <w:spacing w:line="72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2026</w:t>
      </w:r>
      <w:r>
        <w:rPr>
          <w:rFonts w:hint="eastAsia" w:ascii="仿宋_GB2312" w:hAnsi="仿宋_GB2312" w:eastAsia="仿宋_GB2312" w:cs="仿宋_GB2312"/>
          <w:sz w:val="32"/>
          <w:szCs w:val="32"/>
        </w:rPr>
        <w:t xml:space="preserve">年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月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日</w:t>
      </w:r>
    </w:p>
    <w:p>
      <w:pPr>
        <w:keepNext w:val="0"/>
        <w:keepLines w:val="0"/>
        <w:pageBreakBefore w:val="0"/>
        <w:widowControl w:val="0"/>
        <w:kinsoku/>
        <w:wordWrap/>
        <w:overflowPunct/>
        <w:topLinePunct w:val="0"/>
        <w:autoSpaceDE/>
        <w:autoSpaceDN/>
        <w:bidi w:val="0"/>
        <w:adjustRightInd/>
        <w:snapToGrid/>
        <w:spacing w:line="72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乙</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方：</w:t>
      </w:r>
    </w:p>
    <w:p>
      <w:pPr>
        <w:keepNext w:val="0"/>
        <w:keepLines w:val="0"/>
        <w:pageBreakBefore w:val="0"/>
        <w:widowControl w:val="0"/>
        <w:kinsoku/>
        <w:wordWrap/>
        <w:overflowPunct/>
        <w:topLinePunct w:val="0"/>
        <w:autoSpaceDE/>
        <w:autoSpaceDN/>
        <w:bidi w:val="0"/>
        <w:adjustRightInd/>
        <w:snapToGrid/>
        <w:spacing w:line="72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乙方代表：</w:t>
      </w:r>
    </w:p>
    <w:p>
      <w:pPr>
        <w:keepNext w:val="0"/>
        <w:keepLines w:val="0"/>
        <w:pageBreakBefore w:val="0"/>
        <w:widowControl w:val="0"/>
        <w:kinsoku/>
        <w:wordWrap/>
        <w:overflowPunct/>
        <w:topLinePunct w:val="0"/>
        <w:autoSpaceDE/>
        <w:autoSpaceDN/>
        <w:bidi w:val="0"/>
        <w:adjustRightInd/>
        <w:snapToGrid/>
        <w:spacing w:line="720" w:lineRule="auto"/>
        <w:ind w:firstLine="640" w:firstLineChars="200"/>
        <w:textAlignment w:val="auto"/>
        <w:rPr>
          <w:rFonts w:hint="eastAsia" w:ascii="宋体" w:hAnsi="宋体" w:eastAsia="宋体" w:cs="宋体"/>
          <w:lang w:val="sq-AL" w:eastAsia="zh-CN"/>
        </w:rPr>
      </w:pPr>
      <w:r>
        <w:rPr>
          <w:rFonts w:hint="eastAsia" w:ascii="仿宋_GB2312" w:hAnsi="仿宋_GB2312" w:eastAsia="仿宋_GB2312" w:cs="仿宋_GB2312"/>
          <w:sz w:val="32"/>
          <w:szCs w:val="32"/>
          <w:lang w:val="en-US" w:eastAsia="zh-CN"/>
        </w:rPr>
        <w:t>2026</w:t>
      </w:r>
      <w:r>
        <w:rPr>
          <w:rFonts w:hint="eastAsia" w:ascii="仿宋_GB2312" w:hAnsi="仿宋_GB2312" w:eastAsia="仿宋_GB2312" w:cs="仿宋_GB2312"/>
          <w:sz w:val="32"/>
          <w:szCs w:val="32"/>
        </w:rPr>
        <w:t xml:space="preserve">年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月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日</w:t>
      </w:r>
    </w:p>
    <w:p>
      <w:pPr>
        <w:pStyle w:val="9"/>
        <w:spacing w:before="156" w:beforeLines="50" w:line="360" w:lineRule="auto"/>
        <w:ind w:firstLine="0" w:firstLineChars="0"/>
        <w:outlineLvl w:val="0"/>
        <w:rPr>
          <w:rFonts w:hint="eastAsia" w:ascii="Times New Roman" w:hAnsi="Times New Roman"/>
          <w:sz w:val="24"/>
          <w:szCs w:val="24"/>
          <w:lang w:val="en-US" w:eastAsia="zh-CN"/>
        </w:rPr>
      </w:pPr>
    </w:p>
    <w:sectPr>
      <w:headerReference r:id="rId5" w:type="default"/>
      <w:footerReference r:id="rId6" w:type="default"/>
      <w:footerReference r:id="rId7" w:type="even"/>
      <w:pgSz w:w="11906" w:h="16838"/>
      <w:pgMar w:top="1417" w:right="1417" w:bottom="1417"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2010609060101010101"/>
    <w:charset w:val="86"/>
    <w:family w:val="auto"/>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7</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8"/>
      </w:rPr>
    </w:pPr>
    <w:r>
      <w:fldChar w:fldCharType="begin"/>
    </w:r>
    <w:r>
      <w:rPr>
        <w:rStyle w:val="8"/>
      </w:rPr>
      <w:instrText xml:space="preserve">PAGE  </w:instrText>
    </w:r>
    <w:r>
      <w:fldChar w:fldCharType="separate"/>
    </w:r>
    <w:r>
      <w:rPr>
        <w:rStyle w:val="8"/>
      </w:rPr>
      <w:t>3</w:t>
    </w:r>
    <w:r>
      <w:fldChar w:fldCharType="end"/>
    </w:r>
  </w:p>
  <w:p>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8"/>
      </w:rPr>
    </w:pPr>
    <w:r>
      <w:fldChar w:fldCharType="begin"/>
    </w:r>
    <w:r>
      <w:rPr>
        <w:rStyle w:val="8"/>
      </w:rPr>
      <w:instrText xml:space="preserve">PAGE  </w:instrTex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CCA2567"/>
    <w:multiLevelType w:val="singleLevel"/>
    <w:tmpl w:val="DCCA256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cxMGYzZTEyOTBhZDQ2NDY5YjBkYTgxYzI4N2I4MGYifQ=="/>
  </w:docVars>
  <w:rsids>
    <w:rsidRoot w:val="45035325"/>
    <w:rsid w:val="01CF2476"/>
    <w:rsid w:val="087F08B8"/>
    <w:rsid w:val="09937054"/>
    <w:rsid w:val="0C516E35"/>
    <w:rsid w:val="0E3002A5"/>
    <w:rsid w:val="0F2B0AF6"/>
    <w:rsid w:val="0FB12F2E"/>
    <w:rsid w:val="1CAF186D"/>
    <w:rsid w:val="20226866"/>
    <w:rsid w:val="20883651"/>
    <w:rsid w:val="219B3856"/>
    <w:rsid w:val="21FF52AF"/>
    <w:rsid w:val="283622EB"/>
    <w:rsid w:val="2A5C6E6E"/>
    <w:rsid w:val="2A75238E"/>
    <w:rsid w:val="2B6A6B45"/>
    <w:rsid w:val="2CC54C12"/>
    <w:rsid w:val="2D62678A"/>
    <w:rsid w:val="2DAB593B"/>
    <w:rsid w:val="2F3F0A39"/>
    <w:rsid w:val="37DA16A4"/>
    <w:rsid w:val="38F22122"/>
    <w:rsid w:val="3A0325A3"/>
    <w:rsid w:val="3D5B544A"/>
    <w:rsid w:val="41AA3211"/>
    <w:rsid w:val="42DC213A"/>
    <w:rsid w:val="43FF0A5F"/>
    <w:rsid w:val="44816199"/>
    <w:rsid w:val="45035325"/>
    <w:rsid w:val="46994657"/>
    <w:rsid w:val="48B84C3E"/>
    <w:rsid w:val="4C7B63BA"/>
    <w:rsid w:val="4CC025E5"/>
    <w:rsid w:val="4D02154B"/>
    <w:rsid w:val="4DFE3C38"/>
    <w:rsid w:val="4ED13FFE"/>
    <w:rsid w:val="50607C9B"/>
    <w:rsid w:val="525564B4"/>
    <w:rsid w:val="532B3FA1"/>
    <w:rsid w:val="545A0320"/>
    <w:rsid w:val="55DD6063"/>
    <w:rsid w:val="5EBD3D5F"/>
    <w:rsid w:val="6124323A"/>
    <w:rsid w:val="64777168"/>
    <w:rsid w:val="670D69D2"/>
    <w:rsid w:val="69386B6B"/>
    <w:rsid w:val="69A37C31"/>
    <w:rsid w:val="6FEE01B6"/>
    <w:rsid w:val="726227D9"/>
    <w:rsid w:val="7D93211D"/>
    <w:rsid w:val="7E10135E"/>
    <w:rsid w:val="7F635858"/>
    <w:rsid w:val="7F9F12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qFormat/>
    <w:uiPriority w:val="0"/>
    <w:pPr>
      <w:keepNext/>
      <w:keepLines/>
      <w:adjustRightInd w:val="0"/>
      <w:spacing w:before="260" w:after="260" w:line="416" w:lineRule="atLeast"/>
      <w:textAlignment w:val="baseline"/>
      <w:outlineLvl w:val="2"/>
    </w:pPr>
    <w:rPr>
      <w:b/>
      <w:bCs/>
      <w:kern w:val="0"/>
      <w:sz w:val="32"/>
      <w:szCs w:val="32"/>
    </w:rPr>
  </w:style>
  <w:style w:type="character" w:default="1" w:styleId="7">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semiHidden/>
    <w:qFormat/>
    <w:uiPriority w:val="0"/>
    <w:rPr>
      <w:rFonts w:ascii="宋体" w:hAnsi="宋体" w:eastAsia="宋体" w:cs="宋体"/>
      <w:sz w:val="24"/>
      <w:szCs w:val="24"/>
      <w:lang w:val="en-US" w:eastAsia="en-US" w:bidi="ar-SA"/>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1994</Words>
  <Characters>2168</Characters>
  <Lines>0</Lines>
  <Paragraphs>0</Paragraphs>
  <TotalTime>1</TotalTime>
  <ScaleCrop>false</ScaleCrop>
  <LinksUpToDate>false</LinksUpToDate>
  <CharactersWithSpaces>2272</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2022-12-23T08:57:00Z</dcterms:created>
  <dc:creator>小雷今天也要努力</dc:creator>
  <cp:lastModifiedBy>sunyihui</cp:lastModifiedBy>
  <dcterms:modified xsi:type="dcterms:W3CDTF">2026-04-28T07:22:01Z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y fmtid="{D5CDD505-2E9C-101B-9397-08002B2CF9AE}" pid="3" name="ICV">
    <vt:lpwstr>C3E7F06B3A3F4E79854A69206D9768D8_13</vt:lpwstr>
  </property>
  <property fmtid="{D5CDD505-2E9C-101B-9397-08002B2CF9AE}" pid="4" name="KSOTemplateDocerSaveRecord">
    <vt:lpwstr>eyJoZGlkIjoiMmIxZWRlNDg0YzhkYTRjOGI5Y2ZkNDg3MzVlY2U1ZGYiLCJ1c2VySWQiOiIxNTUxMTAyNTU0In0=</vt:lpwstr>
  </property>
</Properties>
</file>